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2DF" w:rsidRDefault="009652DF" w:rsidP="009652DF">
      <w:pPr>
        <w:jc w:val="center"/>
        <w:rPr>
          <w:b/>
        </w:rPr>
      </w:pPr>
      <w:r>
        <w:rPr>
          <w:b/>
        </w:rPr>
        <w:t xml:space="preserve">Phụ lục </w:t>
      </w:r>
    </w:p>
    <w:p w:rsidR="004A346E" w:rsidRDefault="009652DF" w:rsidP="004A346E">
      <w:pPr>
        <w:jc w:val="center"/>
        <w:rPr>
          <w:b/>
        </w:rPr>
      </w:pPr>
      <w:r w:rsidRPr="00CA362D">
        <w:rPr>
          <w:b/>
        </w:rPr>
        <w:t>N</w:t>
      </w:r>
      <w:r>
        <w:rPr>
          <w:b/>
        </w:rPr>
        <w:t>HIỆM VỤ</w:t>
      </w:r>
      <w:r w:rsidR="00397C6A">
        <w:rPr>
          <w:b/>
        </w:rPr>
        <w:t>, CHỈ TIÊU</w:t>
      </w:r>
      <w:r>
        <w:rPr>
          <w:b/>
        </w:rPr>
        <w:t xml:space="preserve"> VỀ CẢI CÁCH THỦ TỤC HÀNH CHÍNH</w:t>
      </w:r>
      <w:r w:rsidR="004A346E">
        <w:rPr>
          <w:b/>
        </w:rPr>
        <w:t xml:space="preserve">, </w:t>
      </w:r>
    </w:p>
    <w:p w:rsidR="004A346E" w:rsidRDefault="004A346E" w:rsidP="004A346E">
      <w:pPr>
        <w:jc w:val="center"/>
        <w:rPr>
          <w:b/>
        </w:rPr>
      </w:pPr>
      <w:r>
        <w:rPr>
          <w:b/>
        </w:rPr>
        <w:t xml:space="preserve">HIỆN ĐẠI HÓA PHƯƠNG THỨC CHỈ ĐẠO, ĐIỀU HÀNH </w:t>
      </w:r>
    </w:p>
    <w:p w:rsidR="009652DF" w:rsidRDefault="009652DF" w:rsidP="004A346E">
      <w:pPr>
        <w:jc w:val="center"/>
        <w:rPr>
          <w:b/>
        </w:rPr>
      </w:pPr>
      <w:r>
        <w:rPr>
          <w:b/>
        </w:rPr>
        <w:t xml:space="preserve">BỘ, NGÀNH, ĐỊA PHƯƠNG ĐƯỢC </w:t>
      </w:r>
      <w:r w:rsidR="00397C6A">
        <w:rPr>
          <w:b/>
        </w:rPr>
        <w:t>CHÍNH PHỦ GIAO</w:t>
      </w:r>
    </w:p>
    <w:p w:rsidR="009652DF" w:rsidRDefault="009652DF" w:rsidP="004A346E">
      <w:pPr>
        <w:spacing w:before="120"/>
        <w:jc w:val="center"/>
        <w:rPr>
          <w:i/>
        </w:rPr>
      </w:pPr>
      <w:r w:rsidRPr="00A72B92">
        <w:rPr>
          <w:i/>
        </w:rPr>
        <w:t xml:space="preserve">(Kèm theo Công văn số:         /VPCP-KSTT ngày  </w:t>
      </w:r>
      <w:r>
        <w:rPr>
          <w:i/>
        </w:rPr>
        <w:t xml:space="preserve"> </w:t>
      </w:r>
      <w:r w:rsidRPr="00A72B92">
        <w:rPr>
          <w:i/>
        </w:rPr>
        <w:t xml:space="preserve">  tháng 01 năm 202</w:t>
      </w:r>
      <w:r w:rsidR="0086400A">
        <w:rPr>
          <w:i/>
        </w:rPr>
        <w:t>5</w:t>
      </w:r>
      <w:r w:rsidRPr="00A72B92">
        <w:rPr>
          <w:i/>
        </w:rPr>
        <w:t xml:space="preserve"> </w:t>
      </w:r>
    </w:p>
    <w:p w:rsidR="009652DF" w:rsidRDefault="009652DF" w:rsidP="009652DF">
      <w:pPr>
        <w:jc w:val="center"/>
        <w:rPr>
          <w:i/>
        </w:rPr>
      </w:pPr>
      <w:r w:rsidRPr="00A72B92">
        <w:rPr>
          <w:i/>
        </w:rPr>
        <w:t>của Văn phòng Chính phủ)</w:t>
      </w:r>
    </w:p>
    <w:p w:rsidR="009652DF" w:rsidRPr="00D46EDB" w:rsidRDefault="009652DF" w:rsidP="009652DF">
      <w:pPr>
        <w:jc w:val="center"/>
        <w:rPr>
          <w:i/>
        </w:rPr>
      </w:pPr>
      <w:r>
        <w:rPr>
          <w:i/>
          <w:noProof/>
        </w:rPr>
        <mc:AlternateContent>
          <mc:Choice Requires="wps">
            <w:drawing>
              <wp:anchor distT="0" distB="0" distL="114300" distR="114300" simplePos="0" relativeHeight="251659264" behindDoc="0" locked="0" layoutInCell="1" allowOverlap="1" wp14:anchorId="4F92186C" wp14:editId="32BFCABE">
                <wp:simplePos x="0" y="0"/>
                <wp:positionH relativeFrom="column">
                  <wp:posOffset>2341245</wp:posOffset>
                </wp:positionH>
                <wp:positionV relativeFrom="paragraph">
                  <wp:posOffset>45085</wp:posOffset>
                </wp:positionV>
                <wp:extent cx="12725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725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A0C8F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4.35pt,3.55pt" to="284.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" strokecolor="#4472c4 [3204]" strokeweight=".5pt">
                <v:stroke joinstyle="miter"/>
              </v:line>
            </w:pict>
          </mc:Fallback>
        </mc:AlternateContent>
      </w:r>
    </w:p>
    <w:p w:rsidR="00397C6A" w:rsidRDefault="00397C6A" w:rsidP="009652DF">
      <w:pPr>
        <w:spacing w:before="120"/>
        <w:ind w:firstLine="720"/>
        <w:rPr>
          <w:b/>
          <w:spacing w:val="-8"/>
        </w:rPr>
      </w:pPr>
      <w:r>
        <w:rPr>
          <w:b/>
          <w:spacing w:val="-8"/>
        </w:rPr>
        <w:t>I. NHIỆM VỤ ĐƯỢC GIAO</w:t>
      </w:r>
    </w:p>
    <w:p w:rsidR="009652DF" w:rsidRPr="009652DF" w:rsidRDefault="009652DF" w:rsidP="009652DF">
      <w:pPr>
        <w:spacing w:before="120"/>
        <w:ind w:firstLine="720"/>
        <w:rPr>
          <w:spacing w:val="-8"/>
        </w:rPr>
      </w:pPr>
      <w:r w:rsidRPr="009652DF">
        <w:rPr>
          <w:b/>
          <w:spacing w:val="-8"/>
        </w:rPr>
        <w:t xml:space="preserve">1. Nhiệm vụ giao </w:t>
      </w:r>
      <w:r w:rsidR="00CA7584">
        <w:rPr>
          <w:b/>
          <w:spacing w:val="-8"/>
        </w:rPr>
        <w:t xml:space="preserve">bộ, ngành, địa phương </w:t>
      </w:r>
      <w:r w:rsidRPr="009652DF">
        <w:rPr>
          <w:b/>
          <w:spacing w:val="-8"/>
        </w:rPr>
        <w:t>tại Nghị quyết số 01/NQ-CP</w:t>
      </w:r>
    </w:p>
    <w:p w:rsidR="00245DE8" w:rsidRPr="004A346E" w:rsidRDefault="00CA7584" w:rsidP="004A346E">
      <w:pPr>
        <w:widowControl w:val="0"/>
        <w:spacing w:before="120" w:after="120"/>
        <w:ind w:firstLine="720"/>
        <w:jc w:val="both"/>
        <w:rPr>
          <w:bCs/>
          <w:iCs/>
          <w:noProof/>
          <w:lang w:val="sv-SE"/>
        </w:rPr>
      </w:pPr>
      <w:r>
        <w:rPr>
          <w:bCs/>
          <w:iCs/>
          <w:noProof/>
        </w:rPr>
        <w:t>a)</w:t>
      </w:r>
      <w:r w:rsidR="009652DF" w:rsidRPr="009652DF">
        <w:rPr>
          <w:bCs/>
          <w:iCs/>
          <w:noProof/>
        </w:rPr>
        <w:t xml:space="preserve"> </w:t>
      </w:r>
      <w:r w:rsidR="00245DE8">
        <w:rPr>
          <w:bCs/>
          <w:iCs/>
          <w:noProof/>
          <w:lang w:val="sv-SE"/>
        </w:rPr>
        <w:t>Tập trung cắt giảm, đơn giản hóa thủ tục hành chính, quy định kinh doanh</w:t>
      </w:r>
      <w:r w:rsidR="00245DE8">
        <w:rPr>
          <w:bCs/>
          <w:iCs/>
          <w:noProof/>
          <w:lang w:val="vi-VN"/>
        </w:rPr>
        <w:t xml:space="preserve"> một cách thực chất</w:t>
      </w:r>
      <w:r w:rsidR="00245DE8">
        <w:rPr>
          <w:bCs/>
          <w:iCs/>
          <w:noProof/>
          <w:lang w:val="sv-SE"/>
        </w:rPr>
        <w:t>,</w:t>
      </w:r>
      <w:r w:rsidR="00245DE8">
        <w:rPr>
          <w:bCs/>
          <w:iCs/>
          <w:noProof/>
          <w:lang w:val="vi-VN"/>
        </w:rPr>
        <w:t xml:space="preserve"> hiệu quả,</w:t>
      </w:r>
      <w:r w:rsidR="00245DE8">
        <w:rPr>
          <w:bCs/>
          <w:iCs/>
          <w:noProof/>
          <w:lang w:val="sv-SE"/>
        </w:rPr>
        <w:t xml:space="preserve"> </w:t>
      </w:r>
      <w:r w:rsidR="00245DE8">
        <w:rPr>
          <w:bCs/>
          <w:iCs/>
          <w:noProof/>
          <w:lang w:val="vi-VN"/>
        </w:rPr>
        <w:t xml:space="preserve">sửa đổi bổ sung hoặc bãi bỏ thủ tục hành chính, quy định không cần thiết; </w:t>
      </w:r>
      <w:r w:rsidR="00245DE8">
        <w:rPr>
          <w:bCs/>
          <w:iCs/>
          <w:noProof/>
          <w:lang w:val="sv-SE"/>
        </w:rPr>
        <w:t>không để phát sinh thủ tục, quy định kinh doanh, tiêu chuẩn, quy chuẩn, kỹ thuật mới không phù hợp, làm tăng chi phí, gây khó khăn, phiền hà cho người dân, doanh nghiệp.</w:t>
      </w:r>
    </w:p>
    <w:p w:rsidR="004A346E" w:rsidRDefault="00CA7584" w:rsidP="004A346E">
      <w:pPr>
        <w:widowControl w:val="0"/>
        <w:spacing w:before="120" w:after="120"/>
        <w:ind w:firstLine="720"/>
        <w:jc w:val="both"/>
        <w:rPr>
          <w:bCs/>
          <w:iCs/>
          <w:noProof/>
        </w:rPr>
      </w:pPr>
      <w:r>
        <w:rPr>
          <w:bCs/>
          <w:iCs/>
          <w:noProof/>
        </w:rPr>
        <w:t>b)</w:t>
      </w:r>
      <w:r w:rsidR="004A346E">
        <w:rPr>
          <w:bCs/>
          <w:iCs/>
          <w:noProof/>
        </w:rPr>
        <w:t xml:space="preserve"> </w:t>
      </w:r>
      <w:r w:rsidR="00245DE8">
        <w:rPr>
          <w:bCs/>
          <w:iCs/>
          <w:noProof/>
        </w:rPr>
        <w:t>Nâng cao chất lượng dịch vụ công trực tuyến, dịch vụ số cho người dân và doanh nghiệp, hướng tới cung cấp dịch vụ công trực tuyến toàn trình, cá nhân hóa và dựa trên dữ liệu; tăng cường giám sát, đánh giá và trách nhiệm giải trình của cơ quan nhà nước, người có thẩm quy</w:t>
      </w:r>
      <w:r w:rsidR="00245DE8">
        <w:rPr>
          <w:bCs/>
          <w:iCs/>
          <w:noProof/>
          <w:lang w:val="vi-VN"/>
        </w:rPr>
        <w:t>ề</w:t>
      </w:r>
      <w:r w:rsidR="00245DE8">
        <w:rPr>
          <w:bCs/>
          <w:iCs/>
          <w:noProof/>
        </w:rPr>
        <w:t xml:space="preserve">n trong phục vụ Nhân dân. </w:t>
      </w:r>
    </w:p>
    <w:p w:rsidR="004A346E" w:rsidRDefault="00CA7584" w:rsidP="004A346E">
      <w:pPr>
        <w:widowControl w:val="0"/>
        <w:spacing w:before="120" w:after="120"/>
        <w:ind w:firstLine="720"/>
        <w:jc w:val="both"/>
        <w:rPr>
          <w:bCs/>
          <w:iCs/>
          <w:noProof/>
        </w:rPr>
      </w:pPr>
      <w:r>
        <w:rPr>
          <w:bCs/>
          <w:iCs/>
          <w:noProof/>
        </w:rPr>
        <w:t>c)</w:t>
      </w:r>
      <w:r w:rsidR="004A346E">
        <w:rPr>
          <w:bCs/>
          <w:iCs/>
          <w:noProof/>
        </w:rPr>
        <w:t xml:space="preserve"> </w:t>
      </w:r>
      <w:r w:rsidR="00245DE8">
        <w:rPr>
          <w:bCs/>
          <w:iCs/>
          <w:noProof/>
        </w:rPr>
        <w:t xml:space="preserve">Đổi mới và nâng cao chất lượng hoạt động của Trung tâm phục vụ hành chính công và Bộ phận một cửa các cấp; tăng cường thực hiện số hóa hồ sơ, kết quả giải quyết thủ tục hành chính. </w:t>
      </w:r>
    </w:p>
    <w:p w:rsidR="00245DE8" w:rsidRDefault="00245DE8" w:rsidP="004A346E">
      <w:pPr>
        <w:widowControl w:val="0"/>
        <w:spacing w:before="120" w:after="120"/>
        <w:ind w:firstLine="720"/>
        <w:jc w:val="both"/>
        <w:rPr>
          <w:bCs/>
          <w:iCs/>
          <w:noProof/>
        </w:rPr>
      </w:pPr>
      <w:r>
        <w:rPr>
          <w:bCs/>
          <w:iCs/>
          <w:noProof/>
        </w:rPr>
        <w:t>Đẩy mạnh triển khai thực hiện cơ chế giao doanh nghiệp cung ứng dịch vụ bưu chính công ích đảm nhận một số công việc trong quá trình hướng dẫn, tiếp nhận, số hóa hồ sơ, trả kết quả giải quyết thủ tục hành chính trên cơ sở đánh giá khả năng đáp ứng về cơ sở vật chất, nhân lực của cơ quan hành chính nhà nước và khả năng đảm nhận các nhiệm vụ này của doanh nghiệp cung ứng dịch vụ bưu chính công ích</w:t>
      </w:r>
      <w:r>
        <w:rPr>
          <w:bCs/>
          <w:iCs/>
          <w:noProof/>
          <w:lang w:val="vi-VN"/>
        </w:rPr>
        <w:t xml:space="preserve"> theo quy định tại Nghị định số 107/NĐ-CP ngày 06 tháng 12 năm 2021 của Chính phủ</w:t>
      </w:r>
      <w:r>
        <w:rPr>
          <w:bCs/>
          <w:iCs/>
          <w:noProof/>
        </w:rPr>
        <w:t>.</w:t>
      </w:r>
    </w:p>
    <w:p w:rsidR="00245DE8" w:rsidRDefault="00CA7584" w:rsidP="004A346E">
      <w:pPr>
        <w:widowControl w:val="0"/>
        <w:spacing w:before="120" w:after="120"/>
        <w:ind w:firstLine="720"/>
        <w:rPr>
          <w:bCs/>
          <w:iCs/>
          <w:noProof/>
        </w:rPr>
      </w:pPr>
      <w:r>
        <w:rPr>
          <w:bCs/>
          <w:iCs/>
          <w:noProof/>
        </w:rPr>
        <w:t>d)</w:t>
      </w:r>
      <w:r w:rsidR="004A346E">
        <w:rPr>
          <w:bCs/>
          <w:iCs/>
          <w:noProof/>
        </w:rPr>
        <w:t xml:space="preserve"> </w:t>
      </w:r>
      <w:r w:rsidR="00245DE8">
        <w:rPr>
          <w:bCs/>
          <w:iCs/>
          <w:noProof/>
        </w:rPr>
        <w:t>Đơn giản hóa thủ tục hành chính, nâng cao chất lượng dịch vụ công trong lĩnh vực người lao động Việt Nam đi làm việc ở nước ngoài theo hợp đồng.</w:t>
      </w:r>
    </w:p>
    <w:p w:rsidR="009652DF" w:rsidRPr="009652DF" w:rsidRDefault="00CA7584" w:rsidP="003B0033">
      <w:pPr>
        <w:widowControl w:val="0"/>
        <w:spacing w:before="120" w:after="120"/>
        <w:ind w:firstLine="720"/>
        <w:jc w:val="both"/>
        <w:rPr>
          <w:bCs/>
          <w:iCs/>
          <w:noProof/>
        </w:rPr>
      </w:pPr>
      <w:r>
        <w:rPr>
          <w:bCs/>
          <w:iCs/>
          <w:noProof/>
        </w:rPr>
        <w:t>đ)</w:t>
      </w:r>
      <w:r w:rsidR="004A346E">
        <w:rPr>
          <w:bCs/>
          <w:iCs/>
          <w:noProof/>
        </w:rPr>
        <w:t xml:space="preserve"> Đưa hoạt động quản trị nội bộ, chỉ đạo, điều hành của Chính phủ, Thủ tướng Chính phủ và lãnh đạo bộ, ngành, địa phương lên môi trường số.</w:t>
      </w:r>
    </w:p>
    <w:p w:rsidR="00397C6A" w:rsidRDefault="009652DF" w:rsidP="00397C6A">
      <w:pPr>
        <w:widowControl w:val="0"/>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b/>
          <w:bCs/>
          <w:iCs/>
          <w:noProof/>
          <w:spacing w:val="-8"/>
        </w:rPr>
      </w:pPr>
      <w:r w:rsidRPr="009652DF">
        <w:rPr>
          <w:b/>
          <w:bCs/>
          <w:iCs/>
          <w:noProof/>
          <w:spacing w:val="-8"/>
        </w:rPr>
        <w:t>2. Nhiệm vụ giao tại Nghị quyết số 02/NQ-CP</w:t>
      </w:r>
    </w:p>
    <w:p w:rsidR="00397C6A" w:rsidRDefault="003B0033" w:rsidP="00397C6A">
      <w:pPr>
        <w:widowControl w:val="0"/>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lang w:val="nl-NL"/>
        </w:rPr>
      </w:pPr>
      <w:r>
        <w:rPr>
          <w:lang w:val="nl-NL"/>
        </w:rPr>
        <w:t>a) Các bộ, ngành, địa phương</w:t>
      </w:r>
    </w:p>
    <w:p w:rsidR="00DE5359" w:rsidRPr="00397C6A" w:rsidRDefault="003B0033" w:rsidP="00397C6A">
      <w:pPr>
        <w:widowControl w:val="0"/>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lang w:val="nl-NL"/>
        </w:rPr>
      </w:pPr>
      <w:r>
        <w:t xml:space="preserve">- </w:t>
      </w:r>
      <w:r w:rsidR="00DE5359">
        <w:t xml:space="preserve">Cắt giảm, đơn giản hoá thủ tục hành chính. </w:t>
      </w:r>
      <w:r w:rsidR="00DE5359">
        <w:rPr>
          <w:lang w:val="vi-VN"/>
        </w:rPr>
        <w:t>Tăng cường ứng dụng công nghệ thông tin, liên thông, chia sẻ dữ liệu giữa các cơ quan nhà nước</w:t>
      </w:r>
      <w:r w:rsidR="00DE5359">
        <w:t xml:space="preserve"> để nâng cao </w:t>
      </w:r>
      <w:r w:rsidR="00DE5359">
        <w:rPr>
          <w:lang w:val="vi-VN"/>
        </w:rPr>
        <w:t>hiệu quả giải quyết thủ tục hành chính</w:t>
      </w:r>
      <w:r w:rsidR="00DE5359">
        <w:t>. Công bố, công khai kịp thời các thủ tục hành chính, bao gồm các thủ tục hành chính nội bộ. Tăng trách nhiệm giải trình, nâng cao hiệu quả giải quyết thủ tục hành chính phục vụ người dân, doanh nghiệp.</w:t>
      </w:r>
    </w:p>
    <w:p w:rsidR="000173C8" w:rsidRDefault="000173C8" w:rsidP="000173C8">
      <w:pPr>
        <w:spacing w:before="120" w:after="120"/>
        <w:ind w:firstLine="567"/>
        <w:jc w:val="both"/>
      </w:pPr>
      <w:r>
        <w:lastRenderedPageBreak/>
        <w:t>- Tập trung xây dựng, sửa đổi các văn bản quy phạm pháp luật để thực thi các phương án cắt giảm, đơn giản hóa thủ tục hành chính, quy định kinh doanh, phân cấp giải quyết thủ tục hành chính đã được Chính phủ, Thủ tướng Chính phủ phê duyệt theo hướng một văn bản sửa nhiều văn bản.</w:t>
      </w:r>
    </w:p>
    <w:p w:rsidR="000173C8" w:rsidRDefault="000173C8" w:rsidP="000173C8">
      <w:pPr>
        <w:spacing w:before="120" w:after="120"/>
        <w:ind w:firstLine="567"/>
        <w:jc w:val="both"/>
      </w:pPr>
      <w:r>
        <w:t>- Tăng cường kiểm soát quy định thủ tục hành chính ngay trong quá trình xây dựng văn bản quy phạm pháp luật và chú trọng việc tham vấn đối tượng chịu tác động; bảo đảm chỉ ban hành các quy định đúng thẩm quyền, cần thiết, hợp lý, thực hiện trên môi trường điện tử và chi phí tuân thủ thấp nhất. Trong đó, phát huy vai trò của Bộ Tư pháp, Tổ chức pháp chế thuộc bộ, cơ quan ngang bộ, Sở Tư pháp thuộc Ủy ban nhân dân các tỉnh, thành phố trực thuộc trung ương trong việc thẩm định và của Văn phòng Chính phủ trong việc thẩm tra thủ tục hành chính, quy định kinh doanh tại dự thảo văn bản quy phạm pháp luật.</w:t>
      </w:r>
    </w:p>
    <w:p w:rsidR="000173C8" w:rsidRDefault="000173C8" w:rsidP="000173C8">
      <w:pPr>
        <w:spacing w:before="120" w:after="120"/>
        <w:ind w:firstLine="567"/>
        <w:jc w:val="both"/>
      </w:pPr>
      <w:r>
        <w:t xml:space="preserve">- </w:t>
      </w:r>
      <w:r>
        <w:rPr>
          <w:color w:val="000000" w:themeColor="text1"/>
        </w:rPr>
        <w:t xml:space="preserve">Tiếp tục triển khai có hiệu quả việc đổi mới cơ chế một cửa, một cửa liên thông; </w:t>
      </w:r>
      <w:r>
        <w:rPr>
          <w:bCs/>
          <w:color w:val="000000" w:themeColor="text1"/>
        </w:rPr>
        <w:t xml:space="preserve">tập trung nguồn lực đẩy nhanh số hóa hồ sơ, kết quả giải quyết </w:t>
      </w:r>
      <w:r>
        <w:t>thủ tục hành chính</w:t>
      </w:r>
      <w:r>
        <w:rPr>
          <w:color w:val="000000" w:themeColor="text1"/>
        </w:rPr>
        <w:t>, tái sử dụng dữ liệu đã được số hóa và kết nối, chia sẻ, đồng bộ dữ liệu giữa các hệ thống thông tin.</w:t>
      </w:r>
    </w:p>
    <w:p w:rsidR="000173C8" w:rsidRDefault="000173C8" w:rsidP="000173C8">
      <w:pPr>
        <w:spacing w:before="120" w:after="120"/>
        <w:ind w:firstLine="567"/>
        <w:jc w:val="both"/>
        <w:rPr>
          <w:color w:val="000000" w:themeColor="text1"/>
        </w:rPr>
      </w:pPr>
      <w:r>
        <w:rPr>
          <w:b/>
          <w:color w:val="000000" w:themeColor="text1"/>
        </w:rPr>
        <w:t xml:space="preserve">- </w:t>
      </w:r>
      <w:r>
        <w:rPr>
          <w:color w:val="000000" w:themeColor="text1"/>
        </w:rPr>
        <w:t xml:space="preserve">Rà soát, đánh giá, tái cấu trúc quy trình </w:t>
      </w:r>
      <w:r>
        <w:t>thủ tục hành chính</w:t>
      </w:r>
      <w:r>
        <w:rPr>
          <w:color w:val="000000" w:themeColor="text1"/>
        </w:rPr>
        <w:t>, dịch vụ công trực tuyến và ưu tiên xây dựng, tích hợp, cung cấp các nhóm dịch vụ công trực tuyến liên thông cung cấp ở mức độ toàn trình.</w:t>
      </w:r>
    </w:p>
    <w:p w:rsidR="000173C8" w:rsidRDefault="000173C8" w:rsidP="000173C8">
      <w:pPr>
        <w:spacing w:before="120" w:after="120"/>
        <w:ind w:firstLine="567"/>
        <w:jc w:val="both"/>
        <w:rPr>
          <w:color w:val="000000" w:themeColor="text1"/>
        </w:rPr>
      </w:pPr>
      <w:r>
        <w:rPr>
          <w:color w:val="000000" w:themeColor="text1"/>
        </w:rPr>
        <w:t xml:space="preserve">- Phối hợp chặt chẽ với Văn phòng Chính phủ để nâng cấp cơ sở dữ liệu quốc gia về </w:t>
      </w:r>
      <w:r>
        <w:t>thủ tục hành chính</w:t>
      </w:r>
      <w:r>
        <w:rPr>
          <w:color w:val="000000" w:themeColor="text1"/>
        </w:rPr>
        <w:t>, bảo đảm tiến độ và chất lượng theo yêu cầu.</w:t>
      </w:r>
    </w:p>
    <w:p w:rsidR="000173C8" w:rsidRDefault="000173C8" w:rsidP="000173C8">
      <w:pPr>
        <w:spacing w:before="120" w:after="120"/>
        <w:ind w:firstLine="567"/>
        <w:jc w:val="both"/>
      </w:pPr>
      <w:r>
        <w:rPr>
          <w:color w:val="000000" w:themeColor="text1"/>
        </w:rPr>
        <w:t xml:space="preserve">- Nâng cao chất lượng nguồn nhân lực thực hiện công tác giải quyết </w:t>
      </w:r>
      <w:r>
        <w:t>thủ tục hành chính</w:t>
      </w:r>
      <w:r>
        <w:rPr>
          <w:color w:val="000000" w:themeColor="text1"/>
        </w:rPr>
        <w:t xml:space="preserve">; nâng cấp hệ thống hạ tầng công nghệ thông tin đồng bộ từ trung ương tới địa phương phù hợp với yêu cầu chuyển đổi số hiện nay, bảo đảm an ninh, an toàn thông tin, đẩy mạnh kết nối, tích hợp, chia sẻ thông tin, dữ liệu phục vụ chỉ đạo, điều hành và giải quyết </w:t>
      </w:r>
      <w:r>
        <w:t>thủ tục hành chính</w:t>
      </w:r>
      <w:r>
        <w:rPr>
          <w:color w:val="000000" w:themeColor="text1"/>
        </w:rPr>
        <w:t>, dịch vụ công trực tuyến.</w:t>
      </w:r>
    </w:p>
    <w:p w:rsidR="006868CC" w:rsidRDefault="000173C8" w:rsidP="000173C8">
      <w:pPr>
        <w:spacing w:before="120" w:after="120"/>
        <w:ind w:firstLine="567"/>
        <w:jc w:val="both"/>
        <w:rPr>
          <w:spacing w:val="-6"/>
        </w:rPr>
      </w:pPr>
      <w:r>
        <w:t>b)</w:t>
      </w:r>
      <w:r w:rsidR="00DE5359">
        <w:t xml:space="preserve"> </w:t>
      </w:r>
      <w:r w:rsidR="004A346E">
        <w:rPr>
          <w:spacing w:val="-6"/>
          <w:lang w:val="vi-VN"/>
        </w:rPr>
        <w:t>Các bộ, cơ quan Trung ương</w:t>
      </w:r>
      <w:r w:rsidR="004A346E">
        <w:rPr>
          <w:spacing w:val="-6"/>
        </w:rPr>
        <w:t xml:space="preserve"> trong lĩnh vực quản lý nhà nước được phân công</w:t>
      </w:r>
    </w:p>
    <w:p w:rsidR="00DE5359" w:rsidRDefault="00DE5359" w:rsidP="000173C8">
      <w:pPr>
        <w:spacing w:before="120" w:after="120"/>
        <w:ind w:firstLine="567"/>
        <w:jc w:val="both"/>
      </w:pPr>
      <w:bookmarkStart w:id="0" w:name="_GoBack"/>
      <w:bookmarkEnd w:id="0"/>
      <w:r>
        <w:t xml:space="preserve">Đơn giản hóa </w:t>
      </w:r>
      <w:r>
        <w:rPr>
          <w:lang w:val="vi-VN"/>
        </w:rPr>
        <w:t>thủ tục hành chính</w:t>
      </w:r>
      <w:r>
        <w:t xml:space="preserve"> trong quản lý và triển khai </w:t>
      </w:r>
      <w:r>
        <w:rPr>
          <w:lang w:val="vi-VN"/>
        </w:rPr>
        <w:t>thực hiện nhiệm vụ khoa học, công nghệ, đổi mới sáng tạo và chuyển đổi số</w:t>
      </w:r>
      <w:r>
        <w:t>.</w:t>
      </w:r>
    </w:p>
    <w:p w:rsidR="004A346E" w:rsidRPr="000173C8" w:rsidRDefault="000173C8" w:rsidP="000173C8">
      <w:pPr>
        <w:suppressAutoHyphens/>
        <w:spacing w:before="120" w:after="120"/>
        <w:ind w:firstLine="567"/>
        <w:jc w:val="both"/>
        <w:rPr>
          <w:lang w:val="vi-VN"/>
        </w:rPr>
      </w:pPr>
      <w:r>
        <w:t xml:space="preserve">c) </w:t>
      </w:r>
      <w:r w:rsidR="004A346E">
        <w:rPr>
          <w:lang w:val="vi-VN"/>
        </w:rPr>
        <w:t xml:space="preserve">Các </w:t>
      </w:r>
      <w:r w:rsidR="004A346E">
        <w:t>b</w:t>
      </w:r>
      <w:r w:rsidR="004A346E">
        <w:rPr>
          <w:lang w:val="vi-VN"/>
        </w:rPr>
        <w:t>ộ: Công Thương, Khoa học và Công nghệ, Nông nghiệp và Phát triển nông thôn, Giao thông vận tải, Công an, Quốc phòng, Y tế, Thông tin và Truyền thông, Tài nguyên và Môi trường, Xây dựng, Lao động - Thương binh và Xã hội, Văn hóa, Thể thao và Du lịch</w:t>
      </w:r>
      <w:r>
        <w:t>: (i) N</w:t>
      </w:r>
      <w:r w:rsidR="004A346E">
        <w:rPr>
          <w:lang w:val="vi-VN"/>
        </w:rPr>
        <w:t xml:space="preserve">ghiên cứu, kiến nghị sửa đổi, bổ sung các quy định về quản lý, kiểm tra chuyên ngành đối với hàng hóa </w:t>
      </w:r>
      <w:r w:rsidR="004A346E">
        <w:t xml:space="preserve">xuất </w:t>
      </w:r>
      <w:r w:rsidR="004A346E">
        <w:rPr>
          <w:lang w:val="vi-VN"/>
        </w:rPr>
        <w:t>nhập khẩu tại các</w:t>
      </w:r>
      <w:r w:rsidR="004A346E">
        <w:t xml:space="preserve"> văn bản pháp luật</w:t>
      </w:r>
      <w:r w:rsidR="004A346E">
        <w:rPr>
          <w:lang w:val="vi-VN"/>
        </w:rPr>
        <w:t xml:space="preserve"> về quản lý, kiểm tra chuyên ngành theo hướng</w:t>
      </w:r>
      <w:r>
        <w:t xml:space="preserve"> đ</w:t>
      </w:r>
      <w:r w:rsidR="004A346E">
        <w:rPr>
          <w:lang w:val="vi-VN"/>
        </w:rPr>
        <w:t>ơn giản hóa hồ sơ, quy trình, rút ngắn tối đa thời gian thực hiện thủ tục</w:t>
      </w:r>
      <w:r w:rsidR="004A346E">
        <w:t xml:space="preserve"> hành chính và </w:t>
      </w:r>
      <w:r>
        <w:t>b</w:t>
      </w:r>
      <w:r w:rsidR="004A346E">
        <w:t>ám sát các yêu cầu cải cách tại Quyết định số 38/QĐ-TTg ngày 12 tháng 01 năm 2021 của Thủ tướng Chính phủ phê duyệt Đề án cải cách mô hình kiểm tra chất lượng, kiểm tra an toàn thực phẩm đối với hàng hóa nhập khẩu</w:t>
      </w:r>
      <w:r w:rsidR="003B0033">
        <w:t>.</w:t>
      </w:r>
      <w:r>
        <w:t xml:space="preserve"> (ii) </w:t>
      </w:r>
      <w:r w:rsidR="004A346E">
        <w:rPr>
          <w:lang w:val="vi-VN"/>
        </w:rPr>
        <w:t xml:space="preserve">Nâng cấp, hoàn thiện và triển khai hiệu quả, thực chất thủ tục </w:t>
      </w:r>
      <w:r w:rsidR="004A346E">
        <w:t xml:space="preserve">hành chính </w:t>
      </w:r>
      <w:r w:rsidR="004A346E">
        <w:rPr>
          <w:lang w:val="vi-VN"/>
        </w:rPr>
        <w:t xml:space="preserve">điện </w:t>
      </w:r>
      <w:r w:rsidR="004A346E">
        <w:rPr>
          <w:lang w:val="vi-VN"/>
        </w:rPr>
        <w:lastRenderedPageBreak/>
        <w:t>tử trên Cổng thông tin một cửa quốc gia và các hệ thống thông tin dữ liệu chuyên ngành của các bộ, ngành liên quan</w:t>
      </w:r>
      <w:r w:rsidR="004A346E">
        <w:t>.</w:t>
      </w:r>
    </w:p>
    <w:p w:rsidR="004A346E" w:rsidRDefault="000173C8" w:rsidP="000173C8">
      <w:pPr>
        <w:spacing w:before="120" w:after="120"/>
        <w:ind w:firstLine="567"/>
        <w:jc w:val="both"/>
      </w:pPr>
      <w:r>
        <w:t>d</w:t>
      </w:r>
      <w:r w:rsidR="004A346E">
        <w:t>) Bộ Y tế chủ trì, phối hợp với các bộ, ngành, địa phương</w:t>
      </w:r>
      <w:r>
        <w:t xml:space="preserve"> n</w:t>
      </w:r>
      <w:r w:rsidR="004A346E">
        <w:t xml:space="preserve">ghiên cứu, tham mưu, đề xuất sửa đổi Luật An toàn thực phẩm theo hướng áp dụng các biện pháp quản lý rủi ro, chuyển từ tiền kiểm sang hậu kiểm đối với sản phẩm thực phẩm, nhất là các sản phẩm ít nguy cơ. Áp dụng và triển khai mạnh mẽ thủ tục hành chính trên môi trường điện tử đối với đăng ký, công bố thực phẩm. Miễn giảm yêu cầu về kiểm nghiệm thông qua việc chấp nhận các phiếu kiểm nghiệm mà doanh nghiệp đã thực hiện trong quá trình áp dụng các hệ thống quản lý chất lượng tiên tiến. </w:t>
      </w:r>
    </w:p>
    <w:p w:rsidR="00397C6A" w:rsidRDefault="000173C8" w:rsidP="000173C8">
      <w:pPr>
        <w:spacing w:before="120" w:after="120"/>
        <w:ind w:firstLine="567"/>
        <w:jc w:val="both"/>
        <w:rPr>
          <w:spacing w:val="-12"/>
        </w:rPr>
      </w:pPr>
      <w:r>
        <w:rPr>
          <w:color w:val="000000" w:themeColor="text1"/>
        </w:rPr>
        <w:t>đ</w:t>
      </w:r>
      <w:r w:rsidR="004A346E">
        <w:rPr>
          <w:color w:val="000000" w:themeColor="text1"/>
        </w:rPr>
        <w:t xml:space="preserve">) 05 tỉnh, thành phố (gồm: Hà Nội, Thành phố Hồ Chí Minh, Bình Dương, Quảng Ninh, Bắc Ninh) khẩn trương triển khai có hiệu quả việc thí điểm Mô hình Trung tâm phục vụ hành chính công một cấp trực thuộc Ủy ban nhân dân cấp tỉnh nhằm tạo thuận lợi nhất cho người dân, doanh nghiệp trong tiếp cận và thực hiện </w:t>
      </w:r>
      <w:r w:rsidR="004A346E">
        <w:t>thủ tục hành chính</w:t>
      </w:r>
      <w:r w:rsidR="004A346E">
        <w:rPr>
          <w:color w:val="000000" w:themeColor="text1"/>
        </w:rPr>
        <w:t xml:space="preserve"> không phụ thuộc vào địa giới hành chính</w:t>
      </w:r>
      <w:r w:rsidR="009652DF" w:rsidRPr="009652DF">
        <w:rPr>
          <w:spacing w:val="-12"/>
        </w:rPr>
        <w:t>.</w:t>
      </w:r>
    </w:p>
    <w:p w:rsidR="00397C6A" w:rsidRPr="00397C6A" w:rsidRDefault="00397C6A" w:rsidP="000173C8">
      <w:pPr>
        <w:spacing w:before="120" w:after="120"/>
        <w:ind w:firstLine="567"/>
        <w:jc w:val="both"/>
        <w:rPr>
          <w:b/>
          <w:spacing w:val="-12"/>
        </w:rPr>
      </w:pPr>
      <w:r w:rsidRPr="00397C6A">
        <w:rPr>
          <w:b/>
          <w:spacing w:val="-12"/>
        </w:rPr>
        <w:t>II. CHỈ TIÊU ĐƯỢC GIAO</w:t>
      </w:r>
    </w:p>
    <w:p w:rsidR="00397C6A" w:rsidRDefault="00397C6A" w:rsidP="00397C6A">
      <w:pPr>
        <w:pStyle w:val="ListParagraph"/>
        <w:numPr>
          <w:ilvl w:val="0"/>
          <w:numId w:val="1"/>
        </w:numPr>
        <w:spacing w:after="160" w:line="256" w:lineRule="auto"/>
        <w:jc w:val="both"/>
        <w:rPr>
          <w:b/>
          <w:bCs/>
          <w:iCs/>
          <w:noProof/>
        </w:rPr>
      </w:pPr>
      <w:r>
        <w:rPr>
          <w:b/>
          <w:bCs/>
          <w:iCs/>
          <w:noProof/>
        </w:rPr>
        <w:t>Chỉ tiêu giao tại Nghị quyết số 01/NQ-CP</w:t>
      </w:r>
    </w:p>
    <w:tbl>
      <w:tblPr>
        <w:tblW w:w="4992" w:type="pct"/>
        <w:tblCellSpacing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0"/>
        <w:gridCol w:w="6481"/>
        <w:gridCol w:w="1168"/>
        <w:gridCol w:w="1440"/>
      </w:tblGrid>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56" w:lineRule="auto"/>
              <w:jc w:val="center"/>
              <w:rPr>
                <w:b/>
                <w:lang w:val="vi-VN"/>
              </w:rPr>
            </w:pPr>
            <w:r>
              <w:rPr>
                <w:b/>
                <w:lang w:val="vi-VN"/>
              </w:rPr>
              <w:t>STT</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56" w:lineRule="auto"/>
              <w:jc w:val="center"/>
              <w:rPr>
                <w:b/>
              </w:rPr>
            </w:pPr>
            <w:r>
              <w:rPr>
                <w:b/>
              </w:rPr>
              <w:t>Chỉ tiêu</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56" w:lineRule="auto"/>
              <w:jc w:val="center"/>
              <w:rPr>
                <w:b/>
                <w:lang w:val="vi-VN"/>
              </w:rPr>
            </w:pPr>
            <w:r>
              <w:rPr>
                <w:b/>
                <w:lang w:val="vi-VN"/>
              </w:rPr>
              <w:t>Đơn vị</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56" w:lineRule="auto"/>
              <w:jc w:val="center"/>
              <w:rPr>
                <w:b/>
              </w:rPr>
            </w:pPr>
            <w:r>
              <w:rPr>
                <w:b/>
                <w:lang w:val="vi-VN"/>
              </w:rPr>
              <w:t xml:space="preserve">Chỉ tiêu </w:t>
            </w:r>
          </w:p>
          <w:p w:rsidR="00397C6A" w:rsidRDefault="00397C6A">
            <w:pPr>
              <w:spacing w:line="256" w:lineRule="auto"/>
              <w:jc w:val="center"/>
              <w:rPr>
                <w:b/>
              </w:rPr>
            </w:pPr>
            <w:r>
              <w:rPr>
                <w:b/>
                <w:lang w:val="vi-VN"/>
              </w:rPr>
              <w:t>năm 202</w:t>
            </w:r>
            <w:r>
              <w:rPr>
                <w:b/>
              </w:rPr>
              <w:t>5</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1.</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cung cấp dịch vụ công trực tuyến toàn trình trên tổng số thủ tục hành chính có đủ điều kiện trên Cổng Dịch vụ công quốc gia.</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80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rPr>
                <w:lang w:val="vi-VN"/>
              </w:rPr>
            </w:pPr>
            <w:r>
              <w:rPr>
                <w:lang w:val="vi-VN"/>
              </w:rPr>
              <w:t>2.</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thanh toán trực tuyến trên Cổng Dịch vụ công quốc gia trên tổng số giao dịch thanh toán của dịch vụ công</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60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3.</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hồ sơ trực tuyến trên tổng số hồ sơ tiếp nhận, giải quyết thủ tục hành chính</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60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4.</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số hóa hồ sơ, kết quả giải quyết thủ tục hành chính</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80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5.</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rFonts w:eastAsia="Calibri"/>
              </w:rPr>
            </w:pPr>
            <w:r>
              <w:rPr>
                <w:noProof/>
              </w:rPr>
              <w:t>Tỷ lệ kết quả xử lý hồ sơ TTHC của bộ, ngành, địa phương được đồng bộ đầy đủ trên Cổng Dịch vụ công quốc gia</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100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6.</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nhiệm vụ chính phủ, Thủ tướng Chính phủ giao được theo dõi, giám sát, đánh giá dựa trên dữ liệu số</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100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7.</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dữ liệu thực hiện nhiệm vụ được theo dõi, giám sát đến đơn vị trực tiếp thực hiện nhiệm vụ của các bộ, ngành, địa phương</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100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8.</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 xml:space="preserve">Tỷ lệ các bộ, ngành, địa phương ban hành Bộ chỉ số phục vụ công tác chỉ đạo, điều hành trên môi trường điện tử theo quy định; ban hành quy chế khai thác, sử dụng, kết nối, </w:t>
            </w:r>
            <w:r>
              <w:rPr>
                <w:noProof/>
              </w:rPr>
              <w:lastRenderedPageBreak/>
              <w:t>tích hợp, chia sẻ, tiếp nhận thông tin, dữ liệu phục vụ chỉ đạo, điều hành trên môi trường điện tử.</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lastRenderedPageBreak/>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100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9.</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văn bản, hồ sơ công việc (trừ văn bản, hồ sơ có chứa nội dung bí mật nhà nước) của các cấp chính quyền được thực hiện toàn trình trên Hệ thống Quản lý văn bản và điều hành (Không xử lý song song văn bản, hồ sơ điện tử và văn bản, hồ sơ giấy).</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90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10.</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rPr>
                <w:noProof/>
              </w:rPr>
              <w:t>Tỷ lệ thông tin, số liệu về tình hình xử lý, kết quả xử lý văn bản, hồ sơ công việc của các bộ, ngành, địa phương theo nhiệm vụ Chính phủ, Thủ tướng Chính phủ giao được đồng bộ với các hệ thống thông tin phục vụ chỉ đạo, điều hành của Chính phủ, Thủ tướng Chính phủ qua Trục liên thông văn bản quốc gia.</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100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11.</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both"/>
              <w:rPr>
                <w:noProof/>
              </w:rPr>
            </w:pPr>
            <w:r>
              <w:t>Tỷ lệ Hệ thống giải quyết thủ tục hành chính cấp bộ, cấp tỉnh được kết nối với Hệ thống quản lý văn bản và điều hành để đồng bộ kết quả giải quyết thủ tục hành chính giữa 02 hệ thống.</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w:t>
            </w: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40" w:after="40" w:line="256" w:lineRule="auto"/>
              <w:jc w:val="center"/>
              <w:rPr>
                <w:noProof/>
              </w:rPr>
            </w:pPr>
            <w:r>
              <w:rPr>
                <w:noProof/>
              </w:rPr>
              <w:t>100</w:t>
            </w:r>
          </w:p>
        </w:tc>
      </w:tr>
    </w:tbl>
    <w:p w:rsidR="00397C6A" w:rsidRDefault="00397C6A" w:rsidP="00397C6A">
      <w:pPr>
        <w:widowControl w:val="0"/>
        <w:pBdr>
          <w:top w:val="dotted" w:sz="4" w:space="0" w:color="FFFFFF"/>
          <w:left w:val="dotted" w:sz="4" w:space="0" w:color="FFFFFF"/>
          <w:bottom w:val="dotted" w:sz="4" w:space="13" w:color="FFFFFF"/>
          <w:right w:val="dotted" w:sz="4" w:space="0" w:color="FFFFFF"/>
        </w:pBdr>
        <w:shd w:val="clear" w:color="auto" w:fill="FFFFFF"/>
        <w:spacing w:before="100" w:after="100"/>
        <w:ind w:left="360"/>
        <w:jc w:val="both"/>
        <w:rPr>
          <w:b/>
          <w:bCs/>
          <w:iCs/>
          <w:noProof/>
        </w:rPr>
      </w:pPr>
      <w:r>
        <w:rPr>
          <w:b/>
          <w:bCs/>
          <w:iCs/>
          <w:noProof/>
        </w:rPr>
        <w:t>2. Chỉ tiêu giao tại Nghị quyết số 02/NQ-CP</w:t>
      </w:r>
    </w:p>
    <w:tbl>
      <w:tblPr>
        <w:tblW w:w="4992" w:type="pct"/>
        <w:tblCellSpacing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0"/>
        <w:gridCol w:w="6483"/>
        <w:gridCol w:w="1168"/>
        <w:gridCol w:w="1438"/>
      </w:tblGrid>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rPr>
                <w:b/>
                <w:lang w:val="vi-VN"/>
              </w:rPr>
            </w:pPr>
            <w:r>
              <w:rPr>
                <w:b/>
                <w:lang w:val="vi-VN"/>
              </w:rPr>
              <w:t>STT</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rPr>
                <w:b/>
              </w:rPr>
            </w:pPr>
            <w:r>
              <w:rPr>
                <w:b/>
              </w:rPr>
              <w:t>Chỉ tiêu</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rPr>
                <w:b/>
                <w:lang w:val="vi-VN"/>
              </w:rPr>
            </w:pPr>
            <w:r>
              <w:rPr>
                <w:b/>
                <w:lang w:val="vi-VN"/>
              </w:rPr>
              <w:t>Đơn vị</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rPr>
                <w:b/>
              </w:rPr>
            </w:pPr>
            <w:r>
              <w:rPr>
                <w:b/>
                <w:lang w:val="vi-VN"/>
              </w:rPr>
              <w:t>Chỉ tiêu năm 202</w:t>
            </w:r>
            <w:r>
              <w:rPr>
                <w:b/>
              </w:rPr>
              <w:t>5</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1.</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both"/>
              <w:rPr>
                <w:b/>
                <w:bCs/>
                <w:color w:val="000000" w:themeColor="text1"/>
              </w:rPr>
            </w:pPr>
            <w:r>
              <w:rPr>
                <w:color w:val="000000" w:themeColor="text1"/>
              </w:rPr>
              <w:t>Tỷ lệ cấp kết quả giải quyết thủ tục hành chính điện tử.</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100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2.</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both"/>
              <w:rPr>
                <w:b/>
                <w:bCs/>
                <w:color w:val="000000" w:themeColor="text1"/>
              </w:rPr>
            </w:pPr>
            <w:r>
              <w:rPr>
                <w:color w:val="000000" w:themeColor="text1"/>
              </w:rPr>
              <w:t>Tỷ lệ khai thác, sử dụng lại thông tin, dữ liệu số hóa.</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Tối thiểu 50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3.</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both"/>
              <w:rPr>
                <w:b/>
                <w:bCs/>
                <w:color w:val="000000" w:themeColor="text1"/>
              </w:rPr>
            </w:pPr>
            <w:r>
              <w:rPr>
                <w:color w:val="000000" w:themeColor="text1"/>
              </w:rPr>
              <w:t>Tỷ lệ xử lý phản ánh, kiến nghị đúng hạn.</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100</w:t>
            </w:r>
          </w:p>
        </w:tc>
      </w:tr>
      <w:tr w:rsidR="00397C6A" w:rsidTr="00397C6A">
        <w:trPr>
          <w:tblCellSpacing w:w="0" w:type="dxa"/>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before="120" w:line="256" w:lineRule="auto"/>
              <w:jc w:val="center"/>
            </w:pPr>
            <w:r>
              <w:t>4</w:t>
            </w:r>
          </w:p>
        </w:tc>
        <w:tc>
          <w:tcPr>
            <w:tcW w:w="33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both"/>
              <w:rPr>
                <w:b/>
                <w:bCs/>
                <w:color w:val="000000" w:themeColor="text1"/>
              </w:rPr>
            </w:pPr>
            <w:r>
              <w:rPr>
                <w:color w:val="000000" w:themeColor="text1"/>
              </w:rPr>
              <w:t>Mức độ hài lòng trong tiếp nhận, giải quyết thủ tục hành chính của người dân, doanh nghiệp.</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C6A" w:rsidRDefault="00397C6A">
            <w:pPr>
              <w:spacing w:line="276" w:lineRule="auto"/>
              <w:jc w:val="center"/>
              <w:rPr>
                <w:b/>
                <w:bCs/>
                <w:color w:val="000000" w:themeColor="text1"/>
              </w:rPr>
            </w:pPr>
            <w:r>
              <w:rPr>
                <w:color w:val="000000" w:themeColor="text1"/>
              </w:rPr>
              <w:t>Tối thiểu 90</w:t>
            </w:r>
          </w:p>
        </w:tc>
      </w:tr>
    </w:tbl>
    <w:p w:rsidR="00397C6A" w:rsidRDefault="00397C6A" w:rsidP="00397C6A"/>
    <w:p w:rsidR="009652DF" w:rsidRPr="004A346E" w:rsidRDefault="009652DF" w:rsidP="000173C8">
      <w:pPr>
        <w:spacing w:before="120" w:after="120"/>
        <w:ind w:firstLine="567"/>
        <w:jc w:val="both"/>
      </w:pPr>
    </w:p>
    <w:p w:rsidR="009652DF" w:rsidRPr="00D46EDB" w:rsidRDefault="009652DF" w:rsidP="000173C8">
      <w:pPr>
        <w:widowControl w:val="0"/>
        <w:pBdr>
          <w:top w:val="dotted" w:sz="4" w:space="0" w:color="FFFFFF"/>
          <w:left w:val="dotted" w:sz="4" w:space="0" w:color="FFFFFF"/>
          <w:bottom w:val="dotted" w:sz="4" w:space="13" w:color="FFFFFF"/>
          <w:right w:val="dotted" w:sz="4" w:space="0" w:color="FFFFFF"/>
        </w:pBdr>
        <w:shd w:val="clear" w:color="auto" w:fill="FFFFFF"/>
        <w:spacing w:before="120" w:after="120"/>
        <w:ind w:firstLine="720"/>
        <w:jc w:val="both"/>
        <w:rPr>
          <w:b/>
          <w:bCs/>
          <w:iCs/>
          <w:noProof/>
          <w:spacing w:val="-2"/>
        </w:rPr>
      </w:pPr>
    </w:p>
    <w:p w:rsidR="00DE5447" w:rsidRDefault="00DE5447" w:rsidP="000173C8">
      <w:pPr>
        <w:spacing w:before="120" w:after="120"/>
      </w:pPr>
    </w:p>
    <w:sectPr w:rsidR="00DE5447" w:rsidSect="00B22634">
      <w:headerReference w:type="default" r:id="rId7"/>
      <w:pgSz w:w="12240" w:h="15840"/>
      <w:pgMar w:top="964" w:right="964" w:bottom="851" w:left="153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1F1" w:rsidRDefault="003C51F1" w:rsidP="009652DF">
      <w:r>
        <w:separator/>
      </w:r>
    </w:p>
  </w:endnote>
  <w:endnote w:type="continuationSeparator" w:id="0">
    <w:p w:rsidR="003C51F1" w:rsidRDefault="003C51F1" w:rsidP="0096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1F1" w:rsidRDefault="003C51F1" w:rsidP="009652DF">
      <w:r>
        <w:separator/>
      </w:r>
    </w:p>
  </w:footnote>
  <w:footnote w:type="continuationSeparator" w:id="0">
    <w:p w:rsidR="003C51F1" w:rsidRDefault="003C51F1" w:rsidP="0096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0170709"/>
      <w:docPartObj>
        <w:docPartGallery w:val="Page Numbers (Top of Page)"/>
        <w:docPartUnique/>
      </w:docPartObj>
    </w:sdtPr>
    <w:sdtEndPr>
      <w:rPr>
        <w:noProof/>
      </w:rPr>
    </w:sdtEndPr>
    <w:sdtContent>
      <w:p w:rsidR="00B22634" w:rsidRDefault="00B2263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B22634" w:rsidRDefault="00B22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725A6"/>
    <w:multiLevelType w:val="hybridMultilevel"/>
    <w:tmpl w:val="E446F1AC"/>
    <w:lvl w:ilvl="0" w:tplc="091A9C4E">
      <w:start w:val="1"/>
      <w:numFmt w:val="decimal"/>
      <w:lvlText w:val="%1."/>
      <w:lvlJc w:val="left"/>
      <w:pPr>
        <w:ind w:left="708" w:hanging="360"/>
      </w:p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start w:val="1"/>
      <w:numFmt w:val="lowerLetter"/>
      <w:lvlText w:val="%5."/>
      <w:lvlJc w:val="left"/>
      <w:pPr>
        <w:ind w:left="3588" w:hanging="360"/>
      </w:pPr>
    </w:lvl>
    <w:lvl w:ilvl="5" w:tplc="0409001B">
      <w:start w:val="1"/>
      <w:numFmt w:val="lowerRoman"/>
      <w:lvlText w:val="%6."/>
      <w:lvlJc w:val="right"/>
      <w:pPr>
        <w:ind w:left="4308" w:hanging="180"/>
      </w:pPr>
    </w:lvl>
    <w:lvl w:ilvl="6" w:tplc="0409000F">
      <w:start w:val="1"/>
      <w:numFmt w:val="decimal"/>
      <w:lvlText w:val="%7."/>
      <w:lvlJc w:val="left"/>
      <w:pPr>
        <w:ind w:left="5028" w:hanging="360"/>
      </w:pPr>
    </w:lvl>
    <w:lvl w:ilvl="7" w:tplc="04090019">
      <w:start w:val="1"/>
      <w:numFmt w:val="lowerLetter"/>
      <w:lvlText w:val="%8."/>
      <w:lvlJc w:val="left"/>
      <w:pPr>
        <w:ind w:left="5748" w:hanging="360"/>
      </w:pPr>
    </w:lvl>
    <w:lvl w:ilvl="8" w:tplc="0409001B">
      <w:start w:val="1"/>
      <w:numFmt w:val="lowerRoman"/>
      <w:lvlText w:val="%9."/>
      <w:lvlJc w:val="right"/>
      <w:pPr>
        <w:ind w:left="646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DF"/>
    <w:rsid w:val="000173C8"/>
    <w:rsid w:val="00223ECD"/>
    <w:rsid w:val="00245DE8"/>
    <w:rsid w:val="00397C6A"/>
    <w:rsid w:val="003B0033"/>
    <w:rsid w:val="003C51F1"/>
    <w:rsid w:val="003C7B99"/>
    <w:rsid w:val="004A346E"/>
    <w:rsid w:val="006160D1"/>
    <w:rsid w:val="0068232D"/>
    <w:rsid w:val="006868CC"/>
    <w:rsid w:val="0086400A"/>
    <w:rsid w:val="008A4B26"/>
    <w:rsid w:val="009652DF"/>
    <w:rsid w:val="00A327BE"/>
    <w:rsid w:val="00B22634"/>
    <w:rsid w:val="00CA7584"/>
    <w:rsid w:val="00DE5359"/>
    <w:rsid w:val="00DE5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369C4"/>
  <w15:chartTrackingRefBased/>
  <w15:docId w15:val="{89E74752-EE42-4F52-A6F8-EA403D266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2D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652DF"/>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9652DF"/>
    <w:rPr>
      <w:sz w:val="20"/>
      <w:szCs w:val="20"/>
    </w:rPr>
  </w:style>
  <w:style w:type="character" w:styleId="FootnoteReference">
    <w:name w:val="footnote reference"/>
    <w:basedOn w:val="DefaultParagraphFont"/>
    <w:uiPriority w:val="99"/>
    <w:semiHidden/>
    <w:unhideWhenUsed/>
    <w:rsid w:val="009652DF"/>
    <w:rPr>
      <w:vertAlign w:val="superscript"/>
    </w:rPr>
  </w:style>
  <w:style w:type="paragraph" w:styleId="ListParagraph">
    <w:name w:val="List Paragraph"/>
    <w:aliases w:val="L,Numbered Paragraph,Main numbered paragraph,Numbered List Paragraph,123 List Paragraph,Bullets,List Paragraph (numbered (a)),List Paragraph nowy,Liste 1,List_Paragraph,Multilevel para_II,Bullet paras,Heading 1.1,Thang2,Bullet List"/>
    <w:basedOn w:val="Normal"/>
    <w:uiPriority w:val="34"/>
    <w:qFormat/>
    <w:rsid w:val="004A346E"/>
    <w:pPr>
      <w:ind w:left="720"/>
      <w:contextualSpacing/>
    </w:pPr>
  </w:style>
  <w:style w:type="paragraph" w:styleId="Header">
    <w:name w:val="header"/>
    <w:basedOn w:val="Normal"/>
    <w:link w:val="HeaderChar"/>
    <w:uiPriority w:val="99"/>
    <w:unhideWhenUsed/>
    <w:rsid w:val="00B22634"/>
    <w:pPr>
      <w:tabs>
        <w:tab w:val="center" w:pos="4680"/>
        <w:tab w:val="right" w:pos="9360"/>
      </w:tabs>
    </w:pPr>
  </w:style>
  <w:style w:type="character" w:customStyle="1" w:styleId="HeaderChar">
    <w:name w:val="Header Char"/>
    <w:basedOn w:val="DefaultParagraphFont"/>
    <w:link w:val="Header"/>
    <w:uiPriority w:val="99"/>
    <w:rsid w:val="00B22634"/>
    <w:rPr>
      <w:rFonts w:eastAsia="Times New Roman" w:cs="Times New Roman"/>
      <w:szCs w:val="28"/>
    </w:rPr>
  </w:style>
  <w:style w:type="paragraph" w:styleId="Footer">
    <w:name w:val="footer"/>
    <w:basedOn w:val="Normal"/>
    <w:link w:val="FooterChar"/>
    <w:uiPriority w:val="99"/>
    <w:unhideWhenUsed/>
    <w:rsid w:val="00B22634"/>
    <w:pPr>
      <w:tabs>
        <w:tab w:val="center" w:pos="4680"/>
        <w:tab w:val="right" w:pos="9360"/>
      </w:tabs>
    </w:pPr>
  </w:style>
  <w:style w:type="character" w:customStyle="1" w:styleId="FooterChar">
    <w:name w:val="Footer Char"/>
    <w:basedOn w:val="DefaultParagraphFont"/>
    <w:link w:val="Footer"/>
    <w:uiPriority w:val="99"/>
    <w:rsid w:val="00B22634"/>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308488">
      <w:bodyDiv w:val="1"/>
      <w:marLeft w:val="0"/>
      <w:marRight w:val="0"/>
      <w:marTop w:val="0"/>
      <w:marBottom w:val="0"/>
      <w:divBdr>
        <w:top w:val="none" w:sz="0" w:space="0" w:color="auto"/>
        <w:left w:val="none" w:sz="0" w:space="0" w:color="auto"/>
        <w:bottom w:val="none" w:sz="0" w:space="0" w:color="auto"/>
        <w:right w:val="none" w:sz="0" w:space="0" w:color="auto"/>
      </w:divBdr>
    </w:div>
    <w:div w:id="377779309">
      <w:bodyDiv w:val="1"/>
      <w:marLeft w:val="0"/>
      <w:marRight w:val="0"/>
      <w:marTop w:val="0"/>
      <w:marBottom w:val="0"/>
      <w:divBdr>
        <w:top w:val="none" w:sz="0" w:space="0" w:color="auto"/>
        <w:left w:val="none" w:sz="0" w:space="0" w:color="auto"/>
        <w:bottom w:val="none" w:sz="0" w:space="0" w:color="auto"/>
        <w:right w:val="none" w:sz="0" w:space="0" w:color="auto"/>
      </w:divBdr>
    </w:div>
    <w:div w:id="403836545">
      <w:bodyDiv w:val="1"/>
      <w:marLeft w:val="0"/>
      <w:marRight w:val="0"/>
      <w:marTop w:val="0"/>
      <w:marBottom w:val="0"/>
      <w:divBdr>
        <w:top w:val="none" w:sz="0" w:space="0" w:color="auto"/>
        <w:left w:val="none" w:sz="0" w:space="0" w:color="auto"/>
        <w:bottom w:val="none" w:sz="0" w:space="0" w:color="auto"/>
        <w:right w:val="none" w:sz="0" w:space="0" w:color="auto"/>
      </w:divBdr>
    </w:div>
    <w:div w:id="758453400">
      <w:bodyDiv w:val="1"/>
      <w:marLeft w:val="0"/>
      <w:marRight w:val="0"/>
      <w:marTop w:val="0"/>
      <w:marBottom w:val="0"/>
      <w:divBdr>
        <w:top w:val="none" w:sz="0" w:space="0" w:color="auto"/>
        <w:left w:val="none" w:sz="0" w:space="0" w:color="auto"/>
        <w:bottom w:val="none" w:sz="0" w:space="0" w:color="auto"/>
        <w:right w:val="none" w:sz="0" w:space="0" w:color="auto"/>
      </w:divBdr>
    </w:div>
    <w:div w:id="867375603">
      <w:bodyDiv w:val="1"/>
      <w:marLeft w:val="0"/>
      <w:marRight w:val="0"/>
      <w:marTop w:val="0"/>
      <w:marBottom w:val="0"/>
      <w:divBdr>
        <w:top w:val="none" w:sz="0" w:space="0" w:color="auto"/>
        <w:left w:val="none" w:sz="0" w:space="0" w:color="auto"/>
        <w:bottom w:val="none" w:sz="0" w:space="0" w:color="auto"/>
        <w:right w:val="none" w:sz="0" w:space="0" w:color="auto"/>
      </w:divBdr>
    </w:div>
    <w:div w:id="1198467207">
      <w:bodyDiv w:val="1"/>
      <w:marLeft w:val="0"/>
      <w:marRight w:val="0"/>
      <w:marTop w:val="0"/>
      <w:marBottom w:val="0"/>
      <w:divBdr>
        <w:top w:val="none" w:sz="0" w:space="0" w:color="auto"/>
        <w:left w:val="none" w:sz="0" w:space="0" w:color="auto"/>
        <w:bottom w:val="none" w:sz="0" w:space="0" w:color="auto"/>
        <w:right w:val="none" w:sz="0" w:space="0" w:color="auto"/>
      </w:divBdr>
    </w:div>
    <w:div w:id="1746604965">
      <w:bodyDiv w:val="1"/>
      <w:marLeft w:val="0"/>
      <w:marRight w:val="0"/>
      <w:marTop w:val="0"/>
      <w:marBottom w:val="0"/>
      <w:divBdr>
        <w:top w:val="none" w:sz="0" w:space="0" w:color="auto"/>
        <w:left w:val="none" w:sz="0" w:space="0" w:color="auto"/>
        <w:bottom w:val="none" w:sz="0" w:space="0" w:color="auto"/>
        <w:right w:val="none" w:sz="0" w:space="0" w:color="auto"/>
      </w:divBdr>
    </w:div>
    <w:div w:id="1978105089">
      <w:bodyDiv w:val="1"/>
      <w:marLeft w:val="0"/>
      <w:marRight w:val="0"/>
      <w:marTop w:val="0"/>
      <w:marBottom w:val="0"/>
      <w:divBdr>
        <w:top w:val="none" w:sz="0" w:space="0" w:color="auto"/>
        <w:left w:val="none" w:sz="0" w:space="0" w:color="auto"/>
        <w:bottom w:val="none" w:sz="0" w:space="0" w:color="auto"/>
        <w:right w:val="none" w:sz="0" w:space="0" w:color="auto"/>
      </w:divBdr>
    </w:div>
    <w:div w:id="2117751922">
      <w:bodyDiv w:val="1"/>
      <w:marLeft w:val="0"/>
      <w:marRight w:val="0"/>
      <w:marTop w:val="0"/>
      <w:marBottom w:val="0"/>
      <w:divBdr>
        <w:top w:val="none" w:sz="0" w:space="0" w:color="auto"/>
        <w:left w:val="none" w:sz="0" w:space="0" w:color="auto"/>
        <w:bottom w:val="none" w:sz="0" w:space="0" w:color="auto"/>
        <w:right w:val="none" w:sz="0" w:space="0" w:color="auto"/>
      </w:divBdr>
    </w:div>
    <w:div w:id="21203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2025-01-16T04:42:00Z</dcterms:created>
  <dcterms:modified xsi:type="dcterms:W3CDTF">2025-01-16T04:42:00Z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-1077739506</vt:i4>
  </property>
</Properties>
</file>